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防火门窗作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业指导书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目的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eastAsia="zh-CN"/>
        </w:rPr>
        <w:t>明确防火门窗送检操作事项，提高送检效率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适用范围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eastAsia="zh-CN"/>
        </w:rPr>
        <w:t>全公司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3、标准内容：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3.1、</w:t>
      </w:r>
      <w:r>
        <w:rPr>
          <w:rFonts w:hint="eastAsia" w:ascii="宋体" w:hAnsi="宋体" w:cs="宋体"/>
          <w:sz w:val="24"/>
          <w:szCs w:val="24"/>
          <w:lang w:eastAsia="zh-CN"/>
        </w:rPr>
        <w:t>送检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防火门窗的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检验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：工地抽检门窗或者公司内部送检的防火门窗经过研发中心确认，可以送天津研究所检验。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3.2、</w:t>
      </w:r>
      <w:r>
        <w:rPr>
          <w:rFonts w:hint="eastAsia" w:ascii="宋体" w:hAnsi="宋体" w:cs="宋体"/>
          <w:sz w:val="24"/>
          <w:szCs w:val="24"/>
          <w:lang w:eastAsia="zh-CN"/>
        </w:rPr>
        <w:t>送检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车辆确认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联系储运部，确定发货时间、发货地点、发货数量、门窗规格等要求。将车辆信息记录好，确认及时到货。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货物装车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确认车辆到位，货物要本着运输安全第一为基准，装车和卸车方便为宜。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3.4、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交代路线：将发货地点详细信息交待给司机。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3.5、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业务办理：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3.5.1、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存放地点：外部抽检门存放在样品库，内部送检防火门存放在实验厂。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3.5.2、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合同打印：外部抽检门带好抽样单，内部送检门带好工艺图纸到业务大厅办理检验合同（注：外部抽检门的生产单位要与检验报告一致）。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如委托单位与生产单位、送检单位名称不一致时，需要生产单位出具确认函，格式如下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pos="9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确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认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函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我公司委托XXX（委托单位的全称）送检的防火门，规格型号为: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 w:color="auto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 w:color="auto"/>
          <w:lang w:val="en-US" w:eastAsia="zh-CN"/>
        </w:rPr>
        <w:t xml:space="preserve">                 (此处填写送检防火门窗的规格型号)。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>为我公司生产的防火门窗产品。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 xml:space="preserve"> 生产单位全称及公章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 w:color="auto"/>
          <w:lang w:val="en-US" w:eastAsia="zh-CN"/>
        </w:rPr>
        <w:t xml:space="preserve">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u w:val="none" w:color="auto"/>
          <w:lang w:val="en-US" w:eastAsia="zh-CN"/>
        </w:rPr>
        <w:t>3.5.3、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样品检验：拿着合同到样品库，找相关人员对样品进行检验。检验后出具样品接收单。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3.5.4、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签订检验合同：带着样品接收单到业务大厅鉴定合同，检验合同上信息是否正确，签字。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公司委托检测门及型式检测门需要注明样品领回，并备注需要通过监控查看检测门检测过程。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3.5.5、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缴费：现金可以直接缴费，如汇款，打印收费通知单，将汇款回执单传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3.5.6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防火门窗送检需要携带资料有：送检样品的图纸、特性描述表、原材料检验报告、门扇重量统计表（防火窗无需此表）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3.5.6.1、图纸要求不体现送检单位的名称及公章。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3.5.6.2、原材料检验报告要求：带图纸中表格除钢板外所有材料的报告和粘结剂的检验报告（要在有效期范围内），备注五金件原材料的有效期为3年，其他原材料的有效期没有规定。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3.5.6.3、门扇重量是指 每种规格带锁扇的重量，并且不体现公司名称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真至业务大厅。传真号022-58387878。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0" w:firstLine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1029A"/>
    <w:rsid w:val="34292B35"/>
    <w:rsid w:val="79AE55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刘昭</cp:lastModifiedBy>
  <dcterms:modified xsi:type="dcterms:W3CDTF">2016-01-07T06:45:18Z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