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48"/>
          <w:szCs w:val="48"/>
        </w:rPr>
      </w:pPr>
      <w:bookmarkStart w:id="18" w:name="_GoBack"/>
      <w:r>
        <w:rPr>
          <w:rFonts w:hint="eastAsia"/>
          <w:b/>
          <w:bCs/>
          <w:sz w:val="48"/>
          <w:szCs w:val="48"/>
        </w:rPr>
        <w:t>防火门五金规范</w:t>
      </w:r>
    </w:p>
    <w:bookmarkEnd w:id="18"/>
    <w:p>
      <w:pPr>
        <w:spacing w:line="500" w:lineRule="exact"/>
        <w:jc w:val="left"/>
        <w:outlineLvl w:val="2"/>
        <w:rPr>
          <w:rFonts w:hint="eastAsia" w:ascii="宋体" w:hAnsi="宋体" w:cs="宋体"/>
          <w:b/>
          <w:bCs/>
          <w:sz w:val="24"/>
          <w:szCs w:val="24"/>
        </w:rPr>
      </w:pPr>
      <w:bookmarkStart w:id="0" w:name="_Toc1933"/>
      <w:bookmarkStart w:id="1" w:name="_Toc22365"/>
      <w:bookmarkStart w:id="2" w:name="_Toc20471"/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cs="宋体"/>
          <w:b/>
          <w:bCs/>
          <w:sz w:val="24"/>
          <w:szCs w:val="24"/>
        </w:rPr>
        <w:t>锁分类及配备要求：</w:t>
      </w:r>
      <w:bookmarkEnd w:id="0"/>
      <w:bookmarkEnd w:id="1"/>
      <w:bookmarkEnd w:id="2"/>
    </w:p>
    <w:p>
      <w:pPr>
        <w:spacing w:line="50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防火锁：</w:t>
      </w:r>
      <w:r>
        <w:rPr>
          <w:rFonts w:hint="eastAsia" w:ascii="宋体" w:hAnsi="宋体" w:cs="宋体"/>
          <w:sz w:val="24"/>
          <w:szCs w:val="24"/>
        </w:rPr>
        <w:t>常规情况下甲级门及除通道位置的乙级门使用，每樘门1把锁</w:t>
      </w:r>
    </w:p>
    <w:p>
      <w:pPr>
        <w:spacing w:line="500" w:lineRule="exact"/>
        <w:ind w:firstLine="120" w:firstLineChars="5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通道锁</w:t>
      </w:r>
      <w:r>
        <w:rPr>
          <w:rFonts w:hint="eastAsia" w:ascii="宋体" w:hAnsi="宋体" w:cs="宋体"/>
          <w:sz w:val="24"/>
          <w:szCs w:val="24"/>
        </w:rPr>
        <w:t>：常规情况下住宅楼通道位置的乙级门使用 ，每樘门1把锁</w:t>
      </w:r>
    </w:p>
    <w:p>
      <w:pPr>
        <w:spacing w:line="500" w:lineRule="exact"/>
        <w:ind w:firstLine="120" w:firstLineChars="5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管井锁</w:t>
      </w:r>
      <w:r>
        <w:rPr>
          <w:rFonts w:hint="eastAsia" w:ascii="宋体" w:hAnsi="宋体" w:cs="宋体"/>
          <w:sz w:val="24"/>
          <w:szCs w:val="24"/>
        </w:rPr>
        <w:t>：常规情况下管道井门使用，每樘门1把锁</w:t>
      </w:r>
    </w:p>
    <w:p>
      <w:pPr>
        <w:spacing w:line="500" w:lineRule="exact"/>
        <w:ind w:firstLine="120" w:firstLineChars="50"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防盗锁</w:t>
      </w:r>
      <w:r>
        <w:rPr>
          <w:rFonts w:hint="eastAsia" w:ascii="宋体" w:hAnsi="宋体" w:cs="宋体"/>
          <w:sz w:val="24"/>
          <w:szCs w:val="24"/>
        </w:rPr>
        <w:t>：入户门使用，每樘门1把锁</w:t>
      </w:r>
    </w:p>
    <w:p>
      <w:pPr>
        <w:spacing w:line="500" w:lineRule="exact"/>
        <w:jc w:val="left"/>
        <w:outlineLvl w:val="2"/>
        <w:rPr>
          <w:rFonts w:hint="eastAsia" w:ascii="宋体" w:hAnsi="宋体" w:cs="宋体"/>
          <w:b/>
          <w:bCs/>
          <w:sz w:val="24"/>
          <w:szCs w:val="24"/>
        </w:rPr>
      </w:pPr>
      <w:bookmarkStart w:id="3" w:name="_Toc8820"/>
      <w:bookmarkStart w:id="4" w:name="_Toc13430"/>
      <w:bookmarkStart w:id="5" w:name="_Toc31929"/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cs="宋体"/>
          <w:b/>
          <w:bCs/>
          <w:sz w:val="24"/>
          <w:szCs w:val="24"/>
        </w:rPr>
        <w:t>合页分类及配备要求：</w:t>
      </w:r>
      <w:bookmarkEnd w:id="3"/>
      <w:bookmarkEnd w:id="4"/>
      <w:bookmarkEnd w:id="5"/>
    </w:p>
    <w:p>
      <w:pPr>
        <w:numPr>
          <w:ilvl w:val="0"/>
          <w:numId w:val="1"/>
        </w:numPr>
        <w:tabs>
          <w:tab w:val="left" w:pos="420"/>
        </w:tabs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分类</w:t>
      </w:r>
      <w:r>
        <w:rPr>
          <w:rFonts w:hint="eastAsia" w:ascii="宋体" w:hAnsi="宋体" w:cs="宋体"/>
          <w:sz w:val="24"/>
          <w:szCs w:val="24"/>
        </w:rPr>
        <w:t>：钢门用：旗式合页：</w:t>
      </w:r>
    </w:p>
    <w:p>
      <w:pPr>
        <w:spacing w:line="500" w:lineRule="exact"/>
        <w:ind w:left="420" w:leftChars="200" w:firstLine="706" w:firstLineChars="294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木门用：115镀锌合页；</w:t>
      </w:r>
    </w:p>
    <w:p>
      <w:pPr>
        <w:spacing w:line="500" w:lineRule="exact"/>
        <w:ind w:left="420" w:leftChars="200" w:firstLine="706" w:firstLineChars="294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钢木用：钢木旗式合页 ；  </w:t>
      </w:r>
    </w:p>
    <w:p>
      <w:pPr>
        <w:numPr>
          <w:ilvl w:val="0"/>
          <w:numId w:val="1"/>
        </w:numPr>
        <w:tabs>
          <w:tab w:val="left" w:pos="420"/>
        </w:tabs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配备要求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1）钢门（单扇）</w:t>
      </w:r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1）通扇高≥2300，4片合页</w:t>
      </w:r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2）丙级同时满足宽≤600，高  ≤1800，2片合页</w:t>
      </w:r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3）除以上两种情况，3片合页</w:t>
      </w:r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2）木门（单扇）</w:t>
      </w:r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丙级 1）700*2000以下全用2片合页</w:t>
      </w:r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2）700*2000（含）以上用3片合页</w:t>
      </w:r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3）800*1800（含）以上用3片合页</w:t>
      </w:r>
    </w:p>
    <w:p>
      <w:pPr>
        <w:spacing w:line="500" w:lineRule="exact"/>
        <w:ind w:firstLine="240" w:firstLineChars="1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甲、乙级一般情况下用3片合页</w:t>
      </w:r>
    </w:p>
    <w:p>
      <w:pPr>
        <w:spacing w:line="500" w:lineRule="exact"/>
        <w:jc w:val="left"/>
        <w:outlineLvl w:val="2"/>
        <w:rPr>
          <w:rFonts w:hint="eastAsia" w:ascii="宋体" w:hAnsi="宋体" w:cs="宋体"/>
          <w:b/>
          <w:bCs/>
          <w:sz w:val="24"/>
          <w:szCs w:val="24"/>
        </w:rPr>
      </w:pPr>
      <w:bookmarkStart w:id="6" w:name="_Toc5937"/>
      <w:bookmarkStart w:id="7" w:name="_Toc10175"/>
      <w:bookmarkStart w:id="8" w:name="_Toc27854"/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 w:cs="宋体"/>
          <w:b/>
          <w:bCs/>
          <w:sz w:val="24"/>
          <w:szCs w:val="24"/>
        </w:rPr>
        <w:t>闭门器</w:t>
      </w:r>
      <w:bookmarkEnd w:id="6"/>
      <w:bookmarkEnd w:id="7"/>
      <w:r>
        <w:rPr>
          <w:rFonts w:hint="eastAsia" w:ascii="宋体" w:hAnsi="宋体" w:cs="宋体"/>
          <w:b/>
          <w:bCs/>
          <w:sz w:val="24"/>
          <w:szCs w:val="24"/>
        </w:rPr>
        <w:t>选用及配备要求</w:t>
      </w:r>
      <w:bookmarkEnd w:id="8"/>
    </w:p>
    <w:p>
      <w:pPr>
        <w:spacing w:line="500" w:lineRule="exact"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闭门器型号选用规范：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1）闭门器承重范围：60KG以下用B2，60-80KG用B3，80-100KG用B4，100-125KG用B5；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2）安恒闭门器：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门扇重量＜85KG的用安恒RK1800闭门器；门扇重量≥85KG的用安恒RK2000闭门器；</w:t>
      </w:r>
    </w:p>
    <w:p>
      <w:pPr>
        <w:spacing w:line="500" w:lineRule="exact"/>
        <w:jc w:val="left"/>
        <w:outlineLvl w:val="2"/>
        <w:rPr>
          <w:rFonts w:hint="eastAsia" w:ascii="宋体" w:hAnsi="宋体" w:cs="宋体"/>
          <w:b/>
          <w:bCs/>
          <w:sz w:val="24"/>
          <w:szCs w:val="24"/>
        </w:rPr>
      </w:pPr>
      <w:bookmarkStart w:id="9" w:name="_Toc17487"/>
      <w:bookmarkStart w:id="10" w:name="_Toc3387"/>
      <w:bookmarkStart w:id="11" w:name="_Toc5070"/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 w:cs="宋体"/>
          <w:b/>
          <w:bCs/>
          <w:sz w:val="24"/>
          <w:szCs w:val="24"/>
        </w:rPr>
        <w:t>暗插销</w:t>
      </w:r>
      <w:bookmarkEnd w:id="9"/>
      <w:bookmarkEnd w:id="10"/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sz w:val="24"/>
          <w:szCs w:val="24"/>
        </w:rPr>
        <w:t>配备要求</w:t>
      </w:r>
      <w:bookmarkEnd w:id="11"/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1）子母/对开  2个/樘</w:t>
      </w:r>
    </w:p>
    <w:p>
      <w:pPr>
        <w:spacing w:line="50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2）2200mm(含)以上用加长暗插销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</w:t>
      </w:r>
    </w:p>
    <w:p>
      <w:pPr>
        <w:spacing w:line="500" w:lineRule="exact"/>
        <w:jc w:val="left"/>
        <w:outlineLvl w:val="2"/>
        <w:rPr>
          <w:rFonts w:hint="eastAsia" w:ascii="宋体" w:hAnsi="宋体" w:cs="宋体"/>
          <w:b/>
          <w:bCs/>
          <w:sz w:val="24"/>
          <w:szCs w:val="24"/>
        </w:rPr>
      </w:pPr>
      <w:bookmarkStart w:id="12" w:name="_Toc22162"/>
      <w:bookmarkStart w:id="13" w:name="_Toc27426"/>
      <w:bookmarkStart w:id="14" w:name="_Toc12775"/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五、</w:t>
      </w:r>
      <w:r>
        <w:rPr>
          <w:rFonts w:hint="eastAsia" w:ascii="宋体" w:hAnsi="宋体" w:cs="宋体"/>
          <w:b/>
          <w:bCs/>
          <w:sz w:val="24"/>
          <w:szCs w:val="24"/>
        </w:rPr>
        <w:t>顺序器</w:t>
      </w:r>
      <w:bookmarkEnd w:id="12"/>
      <w:bookmarkEnd w:id="13"/>
      <w:r>
        <w:rPr>
          <w:rFonts w:hint="eastAsia" w:ascii="宋体" w:hAnsi="宋体" w:cs="宋体"/>
          <w:b/>
          <w:sz w:val="24"/>
          <w:szCs w:val="24"/>
        </w:rPr>
        <w:t>配备要求</w:t>
      </w:r>
      <w:bookmarkEnd w:id="14"/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甲乙级对开使用 1个/樘、子母扇无顺序器、丙级门不带闭门器、顺序器</w:t>
      </w:r>
    </w:p>
    <w:p>
      <w:pPr>
        <w:spacing w:line="500" w:lineRule="exact"/>
        <w:jc w:val="left"/>
        <w:outlineLvl w:val="1"/>
        <w:rPr>
          <w:rFonts w:hint="eastAsia" w:ascii="宋体" w:hAnsi="宋体" w:cs="宋体"/>
          <w:b/>
          <w:sz w:val="24"/>
          <w:szCs w:val="24"/>
        </w:rPr>
      </w:pPr>
      <w:bookmarkStart w:id="15" w:name="_Toc15250"/>
      <w:bookmarkStart w:id="16" w:name="_Toc17630"/>
      <w:bookmarkStart w:id="17" w:name="_Toc21694"/>
      <w:r>
        <w:rPr>
          <w:rFonts w:hint="eastAsia" w:ascii="宋体" w:hAnsi="宋体" w:cs="宋体"/>
          <w:b/>
          <w:sz w:val="24"/>
          <w:szCs w:val="24"/>
          <w:lang w:eastAsia="zh-CN"/>
        </w:rPr>
        <w:t>六、</w:t>
      </w:r>
      <w:r>
        <w:rPr>
          <w:rFonts w:hint="eastAsia" w:ascii="宋体" w:hAnsi="宋体" w:cs="宋体"/>
          <w:b/>
          <w:sz w:val="24"/>
          <w:szCs w:val="24"/>
        </w:rPr>
        <w:t>防火门用玻璃及注意事项</w:t>
      </w:r>
      <w:bookmarkEnd w:id="15"/>
      <w:bookmarkEnd w:id="16"/>
      <w:bookmarkEnd w:id="17"/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1）由于玻璃为复合灌浆，如受阳光照射会起泡，因此室外门门扇及上亮部位不能带玻璃。</w:t>
      </w:r>
    </w:p>
    <w:p>
      <w:pPr>
        <w:spacing w:line="50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2）为保持与检验报告一致性，防火门用玻璃不允许为单片或中空。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436D8"/>
    <w:rsid w:val="27C436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2015-12-25T08:44:00Z</dcterms:created>
  <dc:creator>刘昭</dc:creator>
  <cp:lastModifiedBy>刘昭</cp:lastModifiedBy>
  <dcterms:modified xsi:type="dcterms:W3CDTF">2015-12-25T08:47:52Z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